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rsidTr="00E3356F">
        <w:trPr>
          <w:trHeight w:val="3318"/>
        </w:trPr>
        <w:tc>
          <w:tcPr>
            <w:tcW w:w="3600" w:type="dxa"/>
            <w:vAlign w:val="bottom"/>
          </w:tcPr>
          <w:p w:rsidR="001B2ABD" w:rsidRDefault="00DE34BC" w:rsidP="001B2ABD">
            <w:pPr>
              <w:tabs>
                <w:tab w:val="left" w:pos="990"/>
              </w:tabs>
              <w:jc w:val="center"/>
            </w:pPr>
            <w:r>
              <w:rPr>
                <w:noProof/>
                <w:lang w:eastAsia="lv-LV"/>
              </w:rPr>
              <w:drawing>
                <wp:inline distT="0" distB="0" distL="0" distR="0">
                  <wp:extent cx="2139950" cy="221678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DB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9950" cy="2216785"/>
                          </a:xfrm>
                          <a:prstGeom prst="rect">
                            <a:avLst/>
                          </a:prstGeom>
                        </pic:spPr>
                      </pic:pic>
                    </a:graphicData>
                  </a:graphic>
                </wp:inline>
              </w:drawing>
            </w:r>
          </w:p>
        </w:tc>
        <w:tc>
          <w:tcPr>
            <w:tcW w:w="720" w:type="dxa"/>
          </w:tcPr>
          <w:p w:rsidR="001B2ABD" w:rsidRDefault="001B2ABD" w:rsidP="000C45FF">
            <w:pPr>
              <w:tabs>
                <w:tab w:val="left" w:pos="990"/>
              </w:tabs>
            </w:pPr>
          </w:p>
        </w:tc>
        <w:tc>
          <w:tcPr>
            <w:tcW w:w="6183" w:type="dxa"/>
            <w:vAlign w:val="bottom"/>
          </w:tcPr>
          <w:p w:rsidR="001B2ABD" w:rsidRDefault="00DE34BC" w:rsidP="001B2ABD">
            <w:pPr>
              <w:pStyle w:val="Nosaukums"/>
              <w:rPr>
                <w:sz w:val="60"/>
                <w:szCs w:val="60"/>
              </w:rPr>
            </w:pPr>
            <w:r w:rsidRPr="00DE34BC">
              <w:rPr>
                <w:sz w:val="60"/>
                <w:szCs w:val="60"/>
              </w:rPr>
              <w:t>Internal security burea</w:t>
            </w:r>
            <w:r w:rsidR="00F45B4F">
              <w:rPr>
                <w:sz w:val="60"/>
                <w:szCs w:val="60"/>
              </w:rPr>
              <w:t>U</w:t>
            </w:r>
          </w:p>
          <w:p w:rsidR="001B2ABD" w:rsidRPr="0027516C" w:rsidRDefault="0027516C" w:rsidP="0027516C">
            <w:pPr>
              <w:rPr>
                <w:lang w:val="en-US"/>
              </w:rPr>
            </w:pPr>
            <w:r w:rsidRPr="0027516C">
              <w:rPr>
                <w:sz w:val="20"/>
                <w:lang w:val="en-US"/>
              </w:rPr>
              <w:t>Established on 1 November, 2015</w:t>
            </w:r>
          </w:p>
        </w:tc>
      </w:tr>
      <w:tr w:rsidR="001B2ABD" w:rsidRPr="00DE34BC" w:rsidTr="00AE7882">
        <w:tc>
          <w:tcPr>
            <w:tcW w:w="3600" w:type="dxa"/>
          </w:tcPr>
          <w:p w:rsidR="001B2ABD" w:rsidRPr="00DE34BC" w:rsidRDefault="00DE34BC" w:rsidP="00036450">
            <w:pPr>
              <w:pStyle w:val="Virsraksts3"/>
              <w:rPr>
                <w:lang w:val="en-US"/>
              </w:rPr>
            </w:pPr>
            <w:r w:rsidRPr="00DE34BC">
              <w:rPr>
                <w:lang w:val="en-US"/>
              </w:rPr>
              <w:t>values</w:t>
            </w:r>
          </w:p>
          <w:p w:rsidR="006C6805" w:rsidRPr="006C6805" w:rsidRDefault="006C6805" w:rsidP="006C6805">
            <w:pPr>
              <w:pStyle w:val="Sarakstarindkopa"/>
              <w:numPr>
                <w:ilvl w:val="0"/>
                <w:numId w:val="4"/>
              </w:numPr>
              <w:rPr>
                <w:b/>
                <w:lang w:val="en-US"/>
              </w:rPr>
            </w:pPr>
            <w:r w:rsidRPr="006C6805">
              <w:rPr>
                <w:b/>
                <w:lang w:val="en-US"/>
              </w:rPr>
              <w:t>Highly professional personnel</w:t>
            </w:r>
          </w:p>
          <w:p w:rsidR="006C6805" w:rsidRPr="006C6805" w:rsidRDefault="006C6805" w:rsidP="006C6805">
            <w:pPr>
              <w:pStyle w:val="Sarakstarindkopa"/>
              <w:ind w:left="27"/>
              <w:rPr>
                <w:lang w:val="en-US"/>
              </w:rPr>
            </w:pPr>
            <w:r w:rsidRPr="006C6805">
              <w:rPr>
                <w:lang w:val="en-US"/>
              </w:rPr>
              <w:t>considerable resources are investe</w:t>
            </w:r>
            <w:r>
              <w:rPr>
                <w:lang w:val="en-US"/>
              </w:rPr>
              <w:t>d in the staff training process</w:t>
            </w:r>
          </w:p>
          <w:p w:rsidR="006C6805" w:rsidRPr="006C6805" w:rsidRDefault="006C6805" w:rsidP="006C6805">
            <w:pPr>
              <w:pStyle w:val="Sarakstarindkopa"/>
              <w:numPr>
                <w:ilvl w:val="0"/>
                <w:numId w:val="4"/>
              </w:numPr>
              <w:rPr>
                <w:b/>
                <w:lang w:val="en-US"/>
              </w:rPr>
            </w:pPr>
            <w:r w:rsidRPr="006C6805">
              <w:rPr>
                <w:b/>
                <w:lang w:val="en-US"/>
              </w:rPr>
              <w:t>Well-grounded decisions</w:t>
            </w:r>
          </w:p>
          <w:p w:rsidR="006C6805" w:rsidRPr="006C6805" w:rsidRDefault="006C6805" w:rsidP="006C6805">
            <w:pPr>
              <w:pStyle w:val="Sarakstarindkopa"/>
              <w:ind w:left="27"/>
              <w:rPr>
                <w:lang w:val="en-US"/>
              </w:rPr>
            </w:pPr>
            <w:r w:rsidRPr="006C6805">
              <w:rPr>
                <w:lang w:val="en-US"/>
              </w:rPr>
              <w:t>decisions are made by co</w:t>
            </w:r>
            <w:r>
              <w:rPr>
                <w:lang w:val="en-US"/>
              </w:rPr>
              <w:t>mpetent officials and employees</w:t>
            </w:r>
          </w:p>
          <w:p w:rsidR="006C6805" w:rsidRPr="006C6805" w:rsidRDefault="006C6805" w:rsidP="006C6805">
            <w:pPr>
              <w:pStyle w:val="Sarakstarindkopa"/>
              <w:numPr>
                <w:ilvl w:val="0"/>
                <w:numId w:val="4"/>
              </w:numPr>
              <w:rPr>
                <w:b/>
                <w:lang w:val="en-US"/>
              </w:rPr>
            </w:pPr>
            <w:r w:rsidRPr="006C6805">
              <w:rPr>
                <w:b/>
                <w:lang w:val="en-US"/>
              </w:rPr>
              <w:t>Crime prevention</w:t>
            </w:r>
          </w:p>
          <w:p w:rsidR="006C6805" w:rsidRPr="006C6805" w:rsidRDefault="006C6805" w:rsidP="006C6805">
            <w:pPr>
              <w:pStyle w:val="Sarakstarindkopa"/>
              <w:ind w:left="27" w:firstLine="16"/>
              <w:rPr>
                <w:lang w:val="en-US"/>
              </w:rPr>
            </w:pPr>
            <w:r w:rsidRPr="006C6805">
              <w:rPr>
                <w:lang w:val="en-US"/>
              </w:rPr>
              <w:t xml:space="preserve">a lot of effort is put not </w:t>
            </w:r>
            <w:r>
              <w:rPr>
                <w:lang w:val="en-US"/>
              </w:rPr>
              <w:t>to allow commitment of offences</w:t>
            </w:r>
          </w:p>
          <w:p w:rsidR="006C6805" w:rsidRPr="006C6805" w:rsidRDefault="006C6805" w:rsidP="006C6805">
            <w:pPr>
              <w:pStyle w:val="Sarakstarindkopa"/>
              <w:numPr>
                <w:ilvl w:val="0"/>
                <w:numId w:val="4"/>
              </w:numPr>
              <w:ind w:left="311" w:firstLine="49"/>
              <w:rPr>
                <w:b/>
                <w:lang w:val="en-US"/>
              </w:rPr>
            </w:pPr>
            <w:r w:rsidRPr="006C6805">
              <w:rPr>
                <w:b/>
                <w:lang w:val="en-US"/>
              </w:rPr>
              <w:t>Independent, impartial detection and investigation of criminal offences</w:t>
            </w:r>
          </w:p>
          <w:p w:rsidR="006C6805" w:rsidRPr="006C6805" w:rsidRDefault="006C6805" w:rsidP="006C6805">
            <w:pPr>
              <w:ind w:left="27"/>
              <w:rPr>
                <w:lang w:val="en-US"/>
              </w:rPr>
            </w:pPr>
            <w:r w:rsidRPr="006C6805">
              <w:rPr>
                <w:lang w:val="en-US"/>
              </w:rPr>
              <w:t>no external influence is allowed while detec</w:t>
            </w:r>
            <w:r>
              <w:rPr>
                <w:lang w:val="en-US"/>
              </w:rPr>
              <w:t>ting and investigating offences</w:t>
            </w:r>
          </w:p>
          <w:p w:rsidR="006C6805" w:rsidRPr="006C6805" w:rsidRDefault="006C6805" w:rsidP="006C6805">
            <w:pPr>
              <w:pStyle w:val="Sarakstarindkopa"/>
              <w:numPr>
                <w:ilvl w:val="0"/>
                <w:numId w:val="4"/>
              </w:numPr>
              <w:rPr>
                <w:b/>
                <w:lang w:val="en-US"/>
              </w:rPr>
            </w:pPr>
            <w:r w:rsidRPr="006C6805">
              <w:rPr>
                <w:b/>
                <w:lang w:val="en-US"/>
              </w:rPr>
              <w:t>Public trust</w:t>
            </w:r>
          </w:p>
          <w:p w:rsidR="006C6805" w:rsidRPr="006C6805" w:rsidRDefault="006C6805" w:rsidP="006C6805">
            <w:pPr>
              <w:ind w:left="27"/>
              <w:rPr>
                <w:lang w:val="en-US"/>
              </w:rPr>
            </w:pPr>
            <w:r w:rsidRPr="006C6805">
              <w:rPr>
                <w:lang w:val="en-US"/>
              </w:rPr>
              <w:t>the public is informed about the Bureau’s activit</w:t>
            </w:r>
            <w:r>
              <w:rPr>
                <w:lang w:val="en-US"/>
              </w:rPr>
              <w:t>ies to gain the citizens’ trust</w:t>
            </w:r>
          </w:p>
          <w:p w:rsidR="006C6805" w:rsidRPr="006C6805" w:rsidRDefault="006C6805" w:rsidP="006C6805">
            <w:pPr>
              <w:pStyle w:val="Sarakstarindkopa"/>
              <w:numPr>
                <w:ilvl w:val="0"/>
                <w:numId w:val="4"/>
              </w:numPr>
              <w:ind w:left="311" w:firstLine="49"/>
              <w:rPr>
                <w:b/>
                <w:lang w:val="en-US"/>
              </w:rPr>
            </w:pPr>
            <w:r w:rsidRPr="006C6805">
              <w:rPr>
                <w:b/>
                <w:lang w:val="en-US"/>
              </w:rPr>
              <w:t>Planning of long-term development</w:t>
            </w:r>
          </w:p>
          <w:p w:rsidR="00036450" w:rsidRPr="006C6805" w:rsidRDefault="006C6805" w:rsidP="006C6805">
            <w:pPr>
              <w:ind w:left="27"/>
              <w:rPr>
                <w:lang w:val="en-US"/>
              </w:rPr>
            </w:pPr>
            <w:r w:rsidRPr="006C6805">
              <w:rPr>
                <w:lang w:val="en-US"/>
              </w:rPr>
              <w:t>plans are designed for considerable periods of time to ensure th</w:t>
            </w:r>
            <w:r>
              <w:rPr>
                <w:lang w:val="en-US"/>
              </w:rPr>
              <w:t>e Bureau’s constant development</w:t>
            </w:r>
          </w:p>
          <w:p w:rsidR="00036450" w:rsidRPr="00DE34BC" w:rsidRDefault="00036450" w:rsidP="00036450">
            <w:pPr>
              <w:rPr>
                <w:lang w:val="en-US"/>
              </w:rPr>
            </w:pPr>
          </w:p>
          <w:p w:rsidR="00036450" w:rsidRPr="00DE34BC" w:rsidRDefault="00DE34BC" w:rsidP="00CB0055">
            <w:pPr>
              <w:pStyle w:val="Virsraksts3"/>
              <w:rPr>
                <w:lang w:val="en-US"/>
              </w:rPr>
            </w:pPr>
            <w:r w:rsidRPr="00DE34BC">
              <w:rPr>
                <w:lang w:val="en-US"/>
              </w:rPr>
              <w:t>contact information</w:t>
            </w:r>
          </w:p>
          <w:p w:rsidR="004D3011" w:rsidRPr="00DE34BC" w:rsidRDefault="00DE34BC" w:rsidP="004D3011">
            <w:pPr>
              <w:rPr>
                <w:lang w:val="en-US"/>
              </w:rPr>
            </w:pPr>
            <w:r>
              <w:rPr>
                <w:lang w:val="en-US"/>
              </w:rPr>
              <w:t>Hotline</w:t>
            </w:r>
          </w:p>
          <w:p w:rsidR="004D3011" w:rsidRPr="00DE34BC" w:rsidRDefault="00DE34BC" w:rsidP="004D3011">
            <w:pPr>
              <w:rPr>
                <w:lang w:val="en-US"/>
              </w:rPr>
            </w:pPr>
            <w:r w:rsidRPr="00DE34BC">
              <w:rPr>
                <w:lang w:val="en-US"/>
              </w:rPr>
              <w:t>+371 672090</w:t>
            </w:r>
            <w:r>
              <w:rPr>
                <w:lang w:val="en-US"/>
              </w:rPr>
              <w:t>55</w:t>
            </w:r>
          </w:p>
          <w:p w:rsidR="004D3011" w:rsidRPr="00DE34BC" w:rsidRDefault="004D3011" w:rsidP="004D3011">
            <w:pPr>
              <w:rPr>
                <w:lang w:val="en-US"/>
              </w:rPr>
            </w:pPr>
          </w:p>
          <w:p w:rsidR="004D3011" w:rsidRPr="00DE34BC" w:rsidRDefault="00DE34BC" w:rsidP="004D3011">
            <w:pPr>
              <w:rPr>
                <w:lang w:val="en-US"/>
              </w:rPr>
            </w:pPr>
            <w:r w:rsidRPr="00DE34BC">
              <w:rPr>
                <w:lang w:val="en-US"/>
              </w:rPr>
              <w:t>Home page</w:t>
            </w:r>
          </w:p>
          <w:p w:rsidR="004D3011" w:rsidRPr="00DE34BC" w:rsidRDefault="00DE34BC" w:rsidP="004D3011">
            <w:pPr>
              <w:rPr>
                <w:lang w:val="en-US"/>
              </w:rPr>
            </w:pPr>
            <w:r w:rsidRPr="00DE34BC">
              <w:rPr>
                <w:lang w:val="en-US"/>
              </w:rPr>
              <w:t>www.idb.gov.lv</w:t>
            </w:r>
          </w:p>
          <w:p w:rsidR="004D3011" w:rsidRPr="00DE34BC" w:rsidRDefault="004D3011" w:rsidP="004D3011">
            <w:pPr>
              <w:rPr>
                <w:lang w:val="en-US"/>
              </w:rPr>
            </w:pPr>
          </w:p>
          <w:p w:rsidR="004D3011" w:rsidRPr="00DE34BC" w:rsidRDefault="00E44773" w:rsidP="004D3011">
            <w:pPr>
              <w:rPr>
                <w:lang w:val="en-US"/>
              </w:rPr>
            </w:pPr>
            <w:r>
              <w:rPr>
                <w:lang w:val="en-US"/>
              </w:rPr>
              <w:t>E-mail</w:t>
            </w:r>
          </w:p>
          <w:p w:rsidR="00036450" w:rsidRPr="00DE34BC" w:rsidRDefault="0027516C" w:rsidP="004D3011">
            <w:pPr>
              <w:rPr>
                <w:rStyle w:val="Hipersaite"/>
                <w:lang w:val="en-US"/>
              </w:rPr>
            </w:pPr>
            <w:r>
              <w:rPr>
                <w:lang w:val="en-US"/>
              </w:rPr>
              <w:t>International.r</w:t>
            </w:r>
            <w:r w:rsidR="004F0E70">
              <w:rPr>
                <w:lang w:val="en-US"/>
              </w:rPr>
              <w:t>e</w:t>
            </w:r>
            <w:bookmarkStart w:id="0" w:name="_GoBack"/>
            <w:bookmarkEnd w:id="0"/>
            <w:r w:rsidR="00DE34BC">
              <w:rPr>
                <w:lang w:val="en-US"/>
              </w:rPr>
              <w:t>quests@idb.gov.lv</w:t>
            </w:r>
          </w:p>
          <w:p w:rsidR="004D3011" w:rsidRPr="00DE34BC" w:rsidRDefault="00A2344C" w:rsidP="00CB0055">
            <w:pPr>
              <w:pStyle w:val="Virsraksts3"/>
              <w:rPr>
                <w:lang w:val="en-US"/>
              </w:rPr>
            </w:pPr>
            <w:r>
              <w:rPr>
                <w:lang w:val="en-US"/>
              </w:rPr>
              <w:t>staff</w:t>
            </w:r>
          </w:p>
          <w:p w:rsidR="004D3011" w:rsidRPr="00DE34BC" w:rsidRDefault="00A2344C" w:rsidP="004D3011">
            <w:pPr>
              <w:rPr>
                <w:lang w:val="en-US"/>
              </w:rPr>
            </w:pPr>
            <w:r>
              <w:rPr>
                <w:lang w:val="en-US"/>
              </w:rPr>
              <w:t xml:space="preserve">Personnel 97 </w:t>
            </w:r>
          </w:p>
          <w:p w:rsidR="004D3011" w:rsidRPr="00DE34BC" w:rsidRDefault="004D3011" w:rsidP="00A2344C">
            <w:pPr>
              <w:rPr>
                <w:lang w:val="en-US"/>
              </w:rPr>
            </w:pPr>
          </w:p>
        </w:tc>
        <w:tc>
          <w:tcPr>
            <w:tcW w:w="720" w:type="dxa"/>
          </w:tcPr>
          <w:p w:rsidR="001B2ABD" w:rsidRPr="00DE34BC" w:rsidRDefault="001B2ABD" w:rsidP="000C45FF">
            <w:pPr>
              <w:tabs>
                <w:tab w:val="left" w:pos="990"/>
              </w:tabs>
              <w:rPr>
                <w:lang w:val="en-US"/>
              </w:rPr>
            </w:pPr>
          </w:p>
        </w:tc>
        <w:tc>
          <w:tcPr>
            <w:tcW w:w="6183" w:type="dxa"/>
          </w:tcPr>
          <w:p w:rsidR="001B2ABD" w:rsidRPr="00DE34BC" w:rsidRDefault="0027516C" w:rsidP="00036450">
            <w:pPr>
              <w:pStyle w:val="Virsraksts2"/>
              <w:rPr>
                <w:lang w:val="en-US"/>
              </w:rPr>
            </w:pPr>
            <w:r>
              <w:rPr>
                <w:lang w:val="en-US"/>
              </w:rPr>
              <w:t>legal status</w:t>
            </w:r>
            <w:r w:rsidR="00DE34BC">
              <w:rPr>
                <w:lang w:val="en-US"/>
              </w:rPr>
              <w:t xml:space="preserve"> and main task</w:t>
            </w:r>
          </w:p>
          <w:p w:rsidR="001B35D4" w:rsidRDefault="001B35D4" w:rsidP="00036450">
            <w:pPr>
              <w:rPr>
                <w:lang w:val="en-US"/>
              </w:rPr>
            </w:pPr>
            <w:r w:rsidRPr="001B35D4">
              <w:rPr>
                <w:lang w:val="en-US"/>
              </w:rPr>
              <w:t>On 1 November 2015, the Internal Security Bureau Law came into force, by which the Internal Security Bureau was established under the supervision of the Minister for the Interior.</w:t>
            </w:r>
          </w:p>
          <w:p w:rsidR="001B35D4" w:rsidRDefault="001B35D4" w:rsidP="00036450">
            <w:pPr>
              <w:rPr>
                <w:lang w:val="en-US"/>
              </w:rPr>
            </w:pPr>
          </w:p>
          <w:p w:rsidR="00036450" w:rsidRDefault="00DE34BC" w:rsidP="00036450">
            <w:pPr>
              <w:rPr>
                <w:lang w:val="en-US"/>
              </w:rPr>
            </w:pPr>
            <w:r w:rsidRPr="00DE34BC">
              <w:rPr>
                <w:lang w:val="en-US"/>
              </w:rPr>
              <w:t xml:space="preserve">The task of the Bureau is to ensure the rule of law and impartiality in detecting and investigating crimes committed by particular officials and employees from subordinate institutions (except the </w:t>
            </w:r>
            <w:r w:rsidR="0027516C">
              <w:rPr>
                <w:lang w:val="en-US"/>
              </w:rPr>
              <w:t xml:space="preserve">State </w:t>
            </w:r>
            <w:r w:rsidRPr="00DE34BC">
              <w:rPr>
                <w:lang w:val="en-US"/>
              </w:rPr>
              <w:t xml:space="preserve">Security </w:t>
            </w:r>
            <w:r w:rsidR="0027516C">
              <w:rPr>
                <w:lang w:val="en-US"/>
              </w:rPr>
              <w:t>Service</w:t>
            </w:r>
            <w:r w:rsidRPr="00DE34BC">
              <w:rPr>
                <w:lang w:val="en-US"/>
              </w:rPr>
              <w:t>) of the Ministry of the Interior and local governments, the Port Police and detention centres, thereby enhancing society’s trust in public administration.</w:t>
            </w:r>
          </w:p>
          <w:p w:rsidR="00A2344C" w:rsidRDefault="00A2344C" w:rsidP="00036450">
            <w:pPr>
              <w:rPr>
                <w:lang w:val="en-US"/>
              </w:rPr>
            </w:pPr>
          </w:p>
          <w:p w:rsidR="00A2344C" w:rsidRPr="00DE34BC" w:rsidRDefault="00A2344C" w:rsidP="00A2344C">
            <w:pPr>
              <w:jc w:val="center"/>
              <w:rPr>
                <w:lang w:val="en-US"/>
              </w:rPr>
            </w:pPr>
            <w:r>
              <w:rPr>
                <w:noProof/>
                <w:lang w:eastAsia="lv-LV"/>
              </w:rPr>
              <w:drawing>
                <wp:inline distT="0" distB="0" distL="0" distR="0">
                  <wp:extent cx="3102520" cy="2251451"/>
                  <wp:effectExtent l="0" t="0" r="317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e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3142" cy="2259159"/>
                          </a:xfrm>
                          <a:prstGeom prst="rect">
                            <a:avLst/>
                          </a:prstGeom>
                        </pic:spPr>
                      </pic:pic>
                    </a:graphicData>
                  </a:graphic>
                </wp:inline>
              </w:drawing>
            </w:r>
          </w:p>
          <w:p w:rsidR="006C6805" w:rsidRDefault="006C6805" w:rsidP="006C6805">
            <w:pPr>
              <w:pStyle w:val="Virsraksts2"/>
              <w:rPr>
                <w:rFonts w:asciiTheme="minorHAnsi" w:eastAsiaTheme="minorEastAsia" w:hAnsiTheme="minorHAnsi" w:cstheme="minorBidi"/>
                <w:b w:val="0"/>
                <w:bCs w:val="0"/>
                <w:caps w:val="0"/>
                <w:sz w:val="18"/>
                <w:szCs w:val="22"/>
                <w:lang w:val="en-US"/>
              </w:rPr>
            </w:pPr>
            <w:r w:rsidRPr="00A2344C">
              <w:rPr>
                <w:rFonts w:asciiTheme="minorHAnsi" w:eastAsiaTheme="minorEastAsia" w:hAnsiTheme="minorHAnsi" w:cstheme="minorBidi"/>
                <w:b w:val="0"/>
                <w:bCs w:val="0"/>
                <w:caps w:val="0"/>
                <w:sz w:val="18"/>
                <w:szCs w:val="22"/>
                <w:lang w:val="en-US"/>
              </w:rPr>
              <w:t xml:space="preserve">By establishing the Bureau as an institution under the supervision of the Minister for the Interior, the principle of independent investigation is ensured in terms of institutional hierarchy as well as independence in thorough evaluation of evidence. </w:t>
            </w:r>
          </w:p>
          <w:p w:rsidR="0027516C" w:rsidRDefault="000A32B8" w:rsidP="00036450">
            <w:pPr>
              <w:pStyle w:val="Virsraksts2"/>
              <w:rPr>
                <w:rFonts w:asciiTheme="minorHAnsi" w:eastAsiaTheme="minorEastAsia" w:hAnsiTheme="minorHAnsi" w:cstheme="minorBidi"/>
                <w:b w:val="0"/>
                <w:bCs w:val="0"/>
                <w:caps w:val="0"/>
                <w:sz w:val="18"/>
                <w:szCs w:val="22"/>
                <w:lang w:val="en-US"/>
              </w:rPr>
            </w:pPr>
            <w:r w:rsidRPr="000A32B8">
              <w:rPr>
                <w:rFonts w:asciiTheme="minorHAnsi" w:eastAsiaTheme="minorEastAsia" w:hAnsiTheme="minorHAnsi" w:cstheme="minorBidi"/>
                <w:b w:val="0"/>
                <w:bCs w:val="0"/>
                <w:caps w:val="0"/>
                <w:sz w:val="18"/>
                <w:szCs w:val="22"/>
                <w:lang w:val="en-US"/>
              </w:rPr>
              <w:t xml:space="preserve">According to the Law of the Republic of Latvia, the scope of competence of the Internal Security Bureau includes, inter alia, detection, investigation and prevention of the criminal offences (including the corruption-related ones) committed by particular officials in State Authority Service. </w:t>
            </w:r>
          </w:p>
          <w:p w:rsidR="00A2344C" w:rsidRDefault="000A32B8" w:rsidP="00036450">
            <w:pPr>
              <w:pStyle w:val="Virsraksts2"/>
              <w:rPr>
                <w:rFonts w:asciiTheme="minorHAnsi" w:eastAsiaTheme="minorEastAsia" w:hAnsiTheme="minorHAnsi" w:cstheme="minorBidi"/>
                <w:b w:val="0"/>
                <w:bCs w:val="0"/>
                <w:caps w:val="0"/>
                <w:sz w:val="18"/>
                <w:szCs w:val="22"/>
                <w:lang w:val="en-US"/>
              </w:rPr>
            </w:pPr>
            <w:r w:rsidRPr="000A32B8">
              <w:rPr>
                <w:rFonts w:asciiTheme="minorHAnsi" w:eastAsiaTheme="minorEastAsia" w:hAnsiTheme="minorHAnsi" w:cstheme="minorBidi"/>
                <w:b w:val="0"/>
                <w:bCs w:val="0"/>
                <w:caps w:val="0"/>
                <w:sz w:val="18"/>
                <w:szCs w:val="22"/>
                <w:lang w:val="en-US"/>
              </w:rPr>
              <w:t xml:space="preserve">Corruption crimes are investigated also by the </w:t>
            </w:r>
            <w:r w:rsidR="0027516C">
              <w:rPr>
                <w:rFonts w:asciiTheme="minorHAnsi" w:eastAsiaTheme="minorEastAsia" w:hAnsiTheme="minorHAnsi" w:cstheme="minorBidi"/>
                <w:b w:val="0"/>
                <w:bCs w:val="0"/>
                <w:caps w:val="0"/>
                <w:sz w:val="18"/>
                <w:szCs w:val="22"/>
                <w:lang w:val="en-US"/>
              </w:rPr>
              <w:t>Corruption</w:t>
            </w:r>
            <w:r w:rsidRPr="000A32B8">
              <w:rPr>
                <w:rFonts w:asciiTheme="minorHAnsi" w:eastAsiaTheme="minorEastAsia" w:hAnsiTheme="minorHAnsi" w:cstheme="minorBidi"/>
                <w:b w:val="0"/>
                <w:bCs w:val="0"/>
                <w:caps w:val="0"/>
                <w:sz w:val="18"/>
                <w:szCs w:val="22"/>
                <w:lang w:val="en-US"/>
              </w:rPr>
              <w:t xml:space="preserve"> Prevention and Combating Bureau, State Border Guard, State Police and State Security Service in Latvia.  </w:t>
            </w:r>
          </w:p>
          <w:p w:rsidR="006C6805" w:rsidRPr="006C6805" w:rsidRDefault="006C6805" w:rsidP="006C6805">
            <w:pPr>
              <w:rPr>
                <w:lang w:val="en-US"/>
              </w:rPr>
            </w:pPr>
          </w:p>
          <w:p w:rsidR="00036450" w:rsidRPr="00DE34BC" w:rsidRDefault="00036450" w:rsidP="004D3011">
            <w:pPr>
              <w:rPr>
                <w:color w:val="FFFFFF" w:themeColor="background1"/>
                <w:lang w:val="en-US"/>
              </w:rPr>
            </w:pPr>
          </w:p>
        </w:tc>
      </w:tr>
    </w:tbl>
    <w:p w:rsidR="00A2344C" w:rsidRDefault="00A2344C" w:rsidP="000C45FF">
      <w:pPr>
        <w:tabs>
          <w:tab w:val="left" w:pos="990"/>
        </w:tabs>
      </w:pPr>
    </w:p>
    <w:p w:rsidR="00A2344C" w:rsidRDefault="00A2344C">
      <w:r>
        <w:br w:type="page"/>
      </w:r>
    </w:p>
    <w:p w:rsidR="00A2344C" w:rsidRPr="00DE34BC" w:rsidRDefault="001B35D4" w:rsidP="00A2344C">
      <w:pPr>
        <w:pStyle w:val="Virsraksts2"/>
        <w:rPr>
          <w:lang w:val="en-US"/>
        </w:rPr>
      </w:pPr>
      <w:r>
        <w:rPr>
          <w:lang w:val="en-US"/>
        </w:rPr>
        <w:lastRenderedPageBreak/>
        <w:t>statistics</w:t>
      </w:r>
      <w:r w:rsidR="00FA02EC">
        <w:rPr>
          <w:lang w:val="en-US"/>
        </w:rPr>
        <w:t xml:space="preserve"> on crime investigation</w:t>
      </w:r>
    </w:p>
    <w:p w:rsidR="00A2344C" w:rsidRPr="00DE34BC" w:rsidRDefault="00483CCF" w:rsidP="0005351F">
      <w:pPr>
        <w:jc w:val="center"/>
        <w:rPr>
          <w:lang w:val="en-US"/>
        </w:rPr>
      </w:pPr>
      <w:r>
        <w:rPr>
          <w:noProof/>
          <w:lang w:eastAsia="lv-LV"/>
        </w:rPr>
        <w:drawing>
          <wp:inline distT="0" distB="0" distL="0" distR="0">
            <wp:extent cx="4159046" cy="3068148"/>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rmstiesas_izmeklesana.png"/>
                    <pic:cNvPicPr/>
                  </pic:nvPicPr>
                  <pic:blipFill>
                    <a:blip r:embed="rId12">
                      <a:extLst>
                        <a:ext uri="{28A0092B-C50C-407E-A947-70E740481C1C}">
                          <a14:useLocalDpi xmlns:a14="http://schemas.microsoft.com/office/drawing/2010/main" val="0"/>
                        </a:ext>
                      </a:extLst>
                    </a:blip>
                    <a:stretch>
                      <a:fillRect/>
                    </a:stretch>
                  </pic:blipFill>
                  <pic:spPr>
                    <a:xfrm>
                      <a:off x="0" y="0"/>
                      <a:ext cx="4174969" cy="3079895"/>
                    </a:xfrm>
                    <a:prstGeom prst="rect">
                      <a:avLst/>
                    </a:prstGeom>
                  </pic:spPr>
                </pic:pic>
              </a:graphicData>
            </a:graphic>
          </wp:inline>
        </w:drawing>
      </w:r>
    </w:p>
    <w:p w:rsidR="00A2344C" w:rsidRPr="00DE34BC" w:rsidRDefault="001B35D4" w:rsidP="00A2344C">
      <w:pPr>
        <w:pStyle w:val="Virsraksts2"/>
        <w:rPr>
          <w:lang w:val="en-US"/>
        </w:rPr>
      </w:pPr>
      <w:r>
        <w:rPr>
          <w:lang w:val="en-US"/>
        </w:rPr>
        <w:t>crime prevention</w:t>
      </w:r>
    </w:p>
    <w:p w:rsidR="006F252D" w:rsidRPr="006F252D" w:rsidRDefault="006F252D" w:rsidP="006F252D">
      <w:pPr>
        <w:tabs>
          <w:tab w:val="left" w:pos="990"/>
        </w:tabs>
        <w:rPr>
          <w:lang w:val="en-US"/>
        </w:rPr>
      </w:pPr>
      <w:r w:rsidRPr="006F252D">
        <w:rPr>
          <w:lang w:val="en-US"/>
        </w:rPr>
        <w:t>Internal security bureau has developed Methodology of Assessment of internal security risks.</w:t>
      </w:r>
    </w:p>
    <w:p w:rsidR="006F252D" w:rsidRPr="006F252D" w:rsidRDefault="006F252D" w:rsidP="006F252D">
      <w:pPr>
        <w:tabs>
          <w:tab w:val="left" w:pos="990"/>
        </w:tabs>
        <w:rPr>
          <w:lang w:val="en-US"/>
        </w:rPr>
      </w:pPr>
      <w:r w:rsidRPr="006F252D">
        <w:rPr>
          <w:lang w:val="en-US"/>
        </w:rPr>
        <w:t>The aim is to assess the operation of the Bureau and to give a tool for the institutions subordinated to the Ministry of the Interior in order to raise their capacity and help to identify:</w:t>
      </w:r>
    </w:p>
    <w:p w:rsidR="006F252D" w:rsidRPr="006F252D" w:rsidRDefault="006F252D" w:rsidP="006F252D">
      <w:pPr>
        <w:pStyle w:val="Sarakstarindkopa"/>
        <w:numPr>
          <w:ilvl w:val="0"/>
          <w:numId w:val="5"/>
        </w:numPr>
        <w:tabs>
          <w:tab w:val="left" w:pos="990"/>
        </w:tabs>
        <w:rPr>
          <w:lang w:val="en-US"/>
        </w:rPr>
      </w:pPr>
      <w:r w:rsidRPr="006F252D">
        <w:rPr>
          <w:lang w:val="en-US"/>
        </w:rPr>
        <w:t>functions related to specific security risks, including corruption risks;</w:t>
      </w:r>
    </w:p>
    <w:p w:rsidR="006F252D" w:rsidRPr="006F252D" w:rsidRDefault="006F252D" w:rsidP="006F252D">
      <w:pPr>
        <w:pStyle w:val="Sarakstarindkopa"/>
        <w:numPr>
          <w:ilvl w:val="0"/>
          <w:numId w:val="5"/>
        </w:numPr>
        <w:tabs>
          <w:tab w:val="left" w:pos="990"/>
        </w:tabs>
        <w:rPr>
          <w:lang w:val="en-US"/>
        </w:rPr>
      </w:pPr>
      <w:r w:rsidRPr="006F252D">
        <w:rPr>
          <w:lang w:val="en-US"/>
        </w:rPr>
        <w:t>risks related to regulatory framework governing the operation of the institution;</w:t>
      </w:r>
    </w:p>
    <w:p w:rsidR="006F252D" w:rsidRPr="006F252D" w:rsidRDefault="006F252D" w:rsidP="006F252D">
      <w:pPr>
        <w:pStyle w:val="Sarakstarindkopa"/>
        <w:numPr>
          <w:ilvl w:val="0"/>
          <w:numId w:val="5"/>
        </w:numPr>
        <w:tabs>
          <w:tab w:val="left" w:pos="990"/>
        </w:tabs>
        <w:rPr>
          <w:lang w:val="en-US"/>
        </w:rPr>
      </w:pPr>
      <w:r w:rsidRPr="006F252D">
        <w:rPr>
          <w:lang w:val="en-US"/>
        </w:rPr>
        <w:t>risks related to personnel.</w:t>
      </w:r>
    </w:p>
    <w:p w:rsidR="006F252D" w:rsidRPr="006F252D" w:rsidRDefault="006F252D" w:rsidP="006F252D">
      <w:pPr>
        <w:tabs>
          <w:tab w:val="left" w:pos="990"/>
        </w:tabs>
        <w:rPr>
          <w:lang w:val="en-US"/>
        </w:rPr>
      </w:pPr>
      <w:r w:rsidRPr="006F252D">
        <w:rPr>
          <w:lang w:val="en-US"/>
        </w:rPr>
        <w:t>As the result of the risk assessment, preventive measures are prepared to prevent the detected risks.</w:t>
      </w:r>
    </w:p>
    <w:p w:rsidR="006F252D" w:rsidRPr="006F252D" w:rsidRDefault="006F252D" w:rsidP="006F252D">
      <w:pPr>
        <w:tabs>
          <w:tab w:val="left" w:pos="990"/>
        </w:tabs>
        <w:rPr>
          <w:lang w:val="en-US"/>
        </w:rPr>
      </w:pPr>
    </w:p>
    <w:p w:rsidR="006F252D" w:rsidRPr="006F252D" w:rsidRDefault="006F252D" w:rsidP="006F252D">
      <w:pPr>
        <w:tabs>
          <w:tab w:val="left" w:pos="990"/>
        </w:tabs>
        <w:rPr>
          <w:lang w:val="en-US"/>
        </w:rPr>
      </w:pPr>
      <w:r w:rsidRPr="006F252D">
        <w:rPr>
          <w:lang w:val="en-US"/>
        </w:rPr>
        <w:t>The Internal security bureau’s activities are aimed at ensuring Public involvement:</w:t>
      </w:r>
    </w:p>
    <w:p w:rsidR="006F252D" w:rsidRPr="006F252D" w:rsidRDefault="006F252D" w:rsidP="006F252D">
      <w:pPr>
        <w:pStyle w:val="Sarakstarindkopa"/>
        <w:numPr>
          <w:ilvl w:val="0"/>
          <w:numId w:val="6"/>
        </w:numPr>
        <w:tabs>
          <w:tab w:val="left" w:pos="990"/>
        </w:tabs>
        <w:rPr>
          <w:lang w:val="en-US"/>
        </w:rPr>
      </w:pPr>
      <w:r w:rsidRPr="006F252D">
        <w:rPr>
          <w:lang w:val="en-US"/>
        </w:rPr>
        <w:t>encourage reporting</w:t>
      </w:r>
      <w:r>
        <w:rPr>
          <w:lang w:val="en-US"/>
        </w:rPr>
        <w:t>;</w:t>
      </w:r>
    </w:p>
    <w:p w:rsidR="006F252D" w:rsidRPr="006F252D" w:rsidRDefault="006F252D" w:rsidP="006F252D">
      <w:pPr>
        <w:pStyle w:val="Sarakstarindkopa"/>
        <w:numPr>
          <w:ilvl w:val="0"/>
          <w:numId w:val="6"/>
        </w:numPr>
        <w:tabs>
          <w:tab w:val="left" w:pos="990"/>
        </w:tabs>
        <w:rPr>
          <w:lang w:val="en-US"/>
        </w:rPr>
      </w:pPr>
      <w:r w:rsidRPr="006F252D">
        <w:rPr>
          <w:lang w:val="en-US"/>
        </w:rPr>
        <w:t>educate the public and raise awareness</w:t>
      </w:r>
      <w:r>
        <w:rPr>
          <w:lang w:val="en-US"/>
        </w:rPr>
        <w:t>;</w:t>
      </w:r>
    </w:p>
    <w:p w:rsidR="006F252D" w:rsidRPr="006F252D" w:rsidRDefault="006F252D" w:rsidP="006F252D">
      <w:pPr>
        <w:pStyle w:val="Sarakstarindkopa"/>
        <w:numPr>
          <w:ilvl w:val="0"/>
          <w:numId w:val="6"/>
        </w:numPr>
        <w:tabs>
          <w:tab w:val="left" w:pos="990"/>
        </w:tabs>
        <w:rPr>
          <w:lang w:val="en-US"/>
        </w:rPr>
      </w:pPr>
      <w:r w:rsidRPr="006F252D">
        <w:rPr>
          <w:lang w:val="en-US"/>
        </w:rPr>
        <w:t>build institution’s image (ensuring the rule of law)</w:t>
      </w:r>
      <w:r>
        <w:rPr>
          <w:lang w:val="en-US"/>
        </w:rPr>
        <w:t>.</w:t>
      </w:r>
    </w:p>
    <w:p w:rsidR="006F252D" w:rsidRPr="006F252D" w:rsidRDefault="006F252D" w:rsidP="006F252D">
      <w:pPr>
        <w:tabs>
          <w:tab w:val="left" w:pos="990"/>
        </w:tabs>
        <w:rPr>
          <w:lang w:val="en-US"/>
        </w:rPr>
      </w:pPr>
    </w:p>
    <w:p w:rsidR="006F252D" w:rsidRPr="006F252D" w:rsidRDefault="006F252D" w:rsidP="006F252D">
      <w:pPr>
        <w:tabs>
          <w:tab w:val="left" w:pos="990"/>
        </w:tabs>
        <w:rPr>
          <w:lang w:val="en-US"/>
        </w:rPr>
      </w:pPr>
      <w:r w:rsidRPr="006F252D">
        <w:rPr>
          <w:lang w:val="en-US"/>
        </w:rPr>
        <w:t>For officials — measures ensuring legal compliance:</w:t>
      </w:r>
    </w:p>
    <w:p w:rsidR="006F252D" w:rsidRPr="006F252D" w:rsidRDefault="006F252D" w:rsidP="006F252D">
      <w:pPr>
        <w:pStyle w:val="Sarakstarindkopa"/>
        <w:numPr>
          <w:ilvl w:val="0"/>
          <w:numId w:val="7"/>
        </w:numPr>
        <w:tabs>
          <w:tab w:val="left" w:pos="990"/>
        </w:tabs>
        <w:rPr>
          <w:lang w:val="en-US"/>
        </w:rPr>
      </w:pPr>
      <w:r>
        <w:rPr>
          <w:lang w:val="en-US"/>
        </w:rPr>
        <w:t>e</w:t>
      </w:r>
      <w:r w:rsidRPr="006F252D">
        <w:rPr>
          <w:lang w:val="en-US"/>
        </w:rPr>
        <w:t>ducating</w:t>
      </w:r>
      <w:r>
        <w:rPr>
          <w:lang w:val="en-US"/>
        </w:rPr>
        <w:t>;</w:t>
      </w:r>
    </w:p>
    <w:p w:rsidR="006F252D" w:rsidRPr="006F252D" w:rsidRDefault="006F252D" w:rsidP="006F252D">
      <w:pPr>
        <w:pStyle w:val="Sarakstarindkopa"/>
        <w:numPr>
          <w:ilvl w:val="0"/>
          <w:numId w:val="7"/>
        </w:numPr>
        <w:tabs>
          <w:tab w:val="left" w:pos="990"/>
        </w:tabs>
        <w:rPr>
          <w:lang w:val="en-US"/>
        </w:rPr>
      </w:pPr>
      <w:r>
        <w:rPr>
          <w:lang w:val="en-US"/>
        </w:rPr>
        <w:t>c</w:t>
      </w:r>
      <w:r w:rsidRPr="006F252D">
        <w:rPr>
          <w:lang w:val="en-US"/>
        </w:rPr>
        <w:t>ontrol</w:t>
      </w:r>
      <w:r>
        <w:rPr>
          <w:lang w:val="en-US"/>
        </w:rPr>
        <w:t>.</w:t>
      </w:r>
    </w:p>
    <w:p w:rsidR="006F252D" w:rsidRPr="006F252D" w:rsidRDefault="006F252D" w:rsidP="006F252D">
      <w:pPr>
        <w:tabs>
          <w:tab w:val="left" w:pos="990"/>
        </w:tabs>
        <w:rPr>
          <w:lang w:val="en-US"/>
        </w:rPr>
      </w:pPr>
    </w:p>
    <w:p w:rsidR="0005351F" w:rsidRDefault="006F252D" w:rsidP="006F252D">
      <w:pPr>
        <w:tabs>
          <w:tab w:val="left" w:pos="990"/>
        </w:tabs>
        <w:rPr>
          <w:lang w:val="en-US"/>
        </w:rPr>
      </w:pPr>
      <w:r w:rsidRPr="006F252D">
        <w:rPr>
          <w:lang w:val="en-US"/>
        </w:rPr>
        <w:t>On annual basis, the Internal Security Bureau presents lectures to both operating and potential employees of the institutions subordinated to the Ministry of the Interior with the aim to ensure lawfulness of their activities and draw attention to the detected problem situations. Current problems are discussed at annual conferences in cooperation with representatives of the prosecution office, courts, human rights protection and law enforcement agencies to improve the prevention and investigation of violence-related crimes committed by officials on duty</w:t>
      </w:r>
      <w:r>
        <w:rPr>
          <w:lang w:val="en-US"/>
        </w:rPr>
        <w:t>.</w:t>
      </w:r>
    </w:p>
    <w:p w:rsidR="004E7A7F" w:rsidRPr="00DE34BC" w:rsidRDefault="004E7A7F" w:rsidP="004E7A7F">
      <w:pPr>
        <w:pStyle w:val="Virsraksts2"/>
        <w:rPr>
          <w:lang w:val="en-US"/>
        </w:rPr>
      </w:pPr>
      <w:r w:rsidRPr="004E7A7F">
        <w:rPr>
          <w:lang w:val="en-US"/>
        </w:rPr>
        <w:t>AGENCY’S ACTIVITIES</w:t>
      </w:r>
    </w:p>
    <w:p w:rsidR="006F252D" w:rsidRPr="004E7A7F" w:rsidRDefault="006F252D" w:rsidP="004E7A7F">
      <w:pPr>
        <w:tabs>
          <w:tab w:val="left" w:pos="990"/>
        </w:tabs>
        <w:rPr>
          <w:lang w:val="en-US"/>
        </w:rPr>
      </w:pPr>
      <w:r w:rsidRPr="006F252D">
        <w:rPr>
          <w:lang w:val="en-US"/>
        </w:rPr>
        <w:t>Over the period of several years, the Internal Security Bureau has succeeded in achieving its initially defined goals: its popularity and public trust have been gained – the number of the received reports/complaints grows from year to year – in 2019 more than 1300 reports/complaints were received. Various prevention and investigation measures have resulted in improvement of the control of the financial activities and overall operation of the institutions subordinated to the Ministry of the Interior.</w:t>
      </w:r>
    </w:p>
    <w:p w:rsidR="006F252D" w:rsidRDefault="006F252D" w:rsidP="006F252D">
      <w:pPr>
        <w:pStyle w:val="Virsraksts2"/>
        <w:rPr>
          <w:rFonts w:asciiTheme="minorHAnsi" w:eastAsiaTheme="minorEastAsia" w:hAnsiTheme="minorHAnsi" w:cstheme="minorBidi"/>
          <w:b w:val="0"/>
          <w:bCs w:val="0"/>
          <w:caps w:val="0"/>
          <w:sz w:val="18"/>
          <w:szCs w:val="22"/>
          <w:lang w:val="en-US"/>
        </w:rPr>
      </w:pPr>
      <w:r w:rsidRPr="006F252D">
        <w:rPr>
          <w:rFonts w:asciiTheme="minorHAnsi" w:eastAsiaTheme="minorEastAsia" w:hAnsiTheme="minorHAnsi" w:cstheme="minorBidi"/>
          <w:b w:val="0"/>
          <w:bCs w:val="0"/>
          <w:caps w:val="0"/>
          <w:sz w:val="18"/>
          <w:szCs w:val="22"/>
          <w:lang w:val="en-US"/>
        </w:rPr>
        <w:t>The activities of the Internal Security Bureau have been appreciated also by international organizations – in 2019 Head of the Bureau participated in a meeting of Ministers’ Deputies of the Committee of Ministers of the Council of Europe and a meeting of the UN Committee against Torture where he informed the audiences about the Bureau’s competence and operation results in Latvia.</w:t>
      </w:r>
    </w:p>
    <w:p w:rsidR="0005351F" w:rsidRPr="00DE34BC" w:rsidRDefault="0005351F" w:rsidP="006F252D">
      <w:pPr>
        <w:pStyle w:val="Virsraksts2"/>
        <w:rPr>
          <w:lang w:val="en-US"/>
        </w:rPr>
      </w:pPr>
      <w:r>
        <w:rPr>
          <w:lang w:val="en-US"/>
        </w:rPr>
        <w:t>chalanges</w:t>
      </w:r>
    </w:p>
    <w:p w:rsidR="0005351F" w:rsidRPr="0005351F" w:rsidRDefault="006F252D" w:rsidP="006F252D">
      <w:pPr>
        <w:rPr>
          <w:lang w:val="en-US"/>
        </w:rPr>
      </w:pPr>
      <w:r>
        <w:rPr>
          <w:lang w:val="en-US"/>
        </w:rPr>
        <w:t>The Internal Security Bureaus’ challenges for the future period of time include the increase in its scope of competence, considering the recommendations from international institutions; raising its capacity in investigation of financial crimes, as well as the development of the Bureau’s information maintaining and processing system.</w:t>
      </w:r>
    </w:p>
    <w:sectPr w:rsidR="0005351F" w:rsidRPr="0005351F"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7B8" w:rsidRDefault="007347B8" w:rsidP="000C45FF">
      <w:r>
        <w:separator/>
      </w:r>
    </w:p>
  </w:endnote>
  <w:endnote w:type="continuationSeparator" w:id="0">
    <w:p w:rsidR="007347B8" w:rsidRDefault="007347B8"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7B8" w:rsidRDefault="007347B8" w:rsidP="000C45FF">
      <w:r>
        <w:separator/>
      </w:r>
    </w:p>
  </w:footnote>
  <w:footnote w:type="continuationSeparator" w:id="0">
    <w:p w:rsidR="007347B8" w:rsidRDefault="007347B8"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Galvene"/>
    </w:pPr>
    <w:r>
      <w:rPr>
        <w:noProof/>
        <w:lang w:eastAsia="lv-LV"/>
      </w:rPr>
      <w:drawing>
        <wp:anchor distT="0" distB="0" distL="114300" distR="114300" simplePos="0" relativeHeight="251658240" behindDoc="1" locked="0" layoutInCell="1" allowOverlap="1" wp14:anchorId="4D6F4968" wp14:editId="5FE4A118">
          <wp:simplePos x="0" y="0"/>
          <wp:positionH relativeFrom="page">
            <wp:posOffset>276225</wp:posOffset>
          </wp:positionH>
          <wp:positionV relativeFrom="page">
            <wp:posOffset>447675</wp:posOffset>
          </wp:positionV>
          <wp:extent cx="7136130" cy="9991725"/>
          <wp:effectExtent l="0" t="0" r="7620" b="9525"/>
          <wp:wrapNone/>
          <wp:docPr id="3" name="Grafika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6D15"/>
    <w:multiLevelType w:val="hybridMultilevel"/>
    <w:tmpl w:val="1C86AE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60356D"/>
    <w:multiLevelType w:val="hybridMultilevel"/>
    <w:tmpl w:val="C34CE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480C98"/>
    <w:multiLevelType w:val="hybridMultilevel"/>
    <w:tmpl w:val="8850DA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888065C"/>
    <w:multiLevelType w:val="hybridMultilevel"/>
    <w:tmpl w:val="507861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5BC2D30"/>
    <w:multiLevelType w:val="hybridMultilevel"/>
    <w:tmpl w:val="807A5D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6100DCF"/>
    <w:multiLevelType w:val="hybridMultilevel"/>
    <w:tmpl w:val="D07CC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A2282E"/>
    <w:multiLevelType w:val="hybridMultilevel"/>
    <w:tmpl w:val="3B4AEC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removePersonalInformation/>
  <w:removeDateAndTime/>
  <w:doNotDisplayPageBoundarie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4BC"/>
    <w:rsid w:val="00036450"/>
    <w:rsid w:val="0005351F"/>
    <w:rsid w:val="00065B0F"/>
    <w:rsid w:val="00094499"/>
    <w:rsid w:val="000A32B8"/>
    <w:rsid w:val="000C45FF"/>
    <w:rsid w:val="000E3FD1"/>
    <w:rsid w:val="00112054"/>
    <w:rsid w:val="001525E1"/>
    <w:rsid w:val="00180329"/>
    <w:rsid w:val="0019001F"/>
    <w:rsid w:val="001A74A5"/>
    <w:rsid w:val="001B2ABD"/>
    <w:rsid w:val="001B35D4"/>
    <w:rsid w:val="001E0391"/>
    <w:rsid w:val="001E1759"/>
    <w:rsid w:val="001F1ECC"/>
    <w:rsid w:val="002400EB"/>
    <w:rsid w:val="00252BEA"/>
    <w:rsid w:val="00256CF7"/>
    <w:rsid w:val="0027516C"/>
    <w:rsid w:val="00281FD5"/>
    <w:rsid w:val="0030481B"/>
    <w:rsid w:val="003156FC"/>
    <w:rsid w:val="003254B5"/>
    <w:rsid w:val="00344B40"/>
    <w:rsid w:val="00355EA8"/>
    <w:rsid w:val="0037121F"/>
    <w:rsid w:val="003A270D"/>
    <w:rsid w:val="003A6B7D"/>
    <w:rsid w:val="003B06CA"/>
    <w:rsid w:val="004071FC"/>
    <w:rsid w:val="00445947"/>
    <w:rsid w:val="004813B3"/>
    <w:rsid w:val="00483CCF"/>
    <w:rsid w:val="00496591"/>
    <w:rsid w:val="004C63E4"/>
    <w:rsid w:val="004D3011"/>
    <w:rsid w:val="004E7A7F"/>
    <w:rsid w:val="004F0E70"/>
    <w:rsid w:val="005262AC"/>
    <w:rsid w:val="005E39D5"/>
    <w:rsid w:val="00600670"/>
    <w:rsid w:val="0062123A"/>
    <w:rsid w:val="00643645"/>
    <w:rsid w:val="00646E75"/>
    <w:rsid w:val="00670DB9"/>
    <w:rsid w:val="006771D0"/>
    <w:rsid w:val="006C6805"/>
    <w:rsid w:val="006D68DD"/>
    <w:rsid w:val="006F252D"/>
    <w:rsid w:val="00715FCB"/>
    <w:rsid w:val="007347B8"/>
    <w:rsid w:val="00743101"/>
    <w:rsid w:val="00773560"/>
    <w:rsid w:val="00776935"/>
    <w:rsid w:val="00777336"/>
    <w:rsid w:val="007775E1"/>
    <w:rsid w:val="007867A0"/>
    <w:rsid w:val="007927F5"/>
    <w:rsid w:val="00802CA0"/>
    <w:rsid w:val="00821194"/>
    <w:rsid w:val="008E25D5"/>
    <w:rsid w:val="009260CD"/>
    <w:rsid w:val="00952C25"/>
    <w:rsid w:val="00A2118D"/>
    <w:rsid w:val="00A2344C"/>
    <w:rsid w:val="00A54229"/>
    <w:rsid w:val="00AD76E2"/>
    <w:rsid w:val="00AE7882"/>
    <w:rsid w:val="00B20152"/>
    <w:rsid w:val="00B359E4"/>
    <w:rsid w:val="00B57D98"/>
    <w:rsid w:val="00B70850"/>
    <w:rsid w:val="00C066B6"/>
    <w:rsid w:val="00C33EEA"/>
    <w:rsid w:val="00C37BA1"/>
    <w:rsid w:val="00C4674C"/>
    <w:rsid w:val="00C506CF"/>
    <w:rsid w:val="00C72BED"/>
    <w:rsid w:val="00C9578B"/>
    <w:rsid w:val="00CB0055"/>
    <w:rsid w:val="00D07DA3"/>
    <w:rsid w:val="00D2522B"/>
    <w:rsid w:val="00D422DE"/>
    <w:rsid w:val="00D5459D"/>
    <w:rsid w:val="00DA1F4D"/>
    <w:rsid w:val="00DD172A"/>
    <w:rsid w:val="00DE34BC"/>
    <w:rsid w:val="00E25A26"/>
    <w:rsid w:val="00E3356F"/>
    <w:rsid w:val="00E4381A"/>
    <w:rsid w:val="00E44773"/>
    <w:rsid w:val="00E55D74"/>
    <w:rsid w:val="00E73D9B"/>
    <w:rsid w:val="00EF6715"/>
    <w:rsid w:val="00F45B4F"/>
    <w:rsid w:val="00F60274"/>
    <w:rsid w:val="00F77FB9"/>
    <w:rsid w:val="00FA02EC"/>
    <w:rsid w:val="00FA7AD4"/>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lv-LV"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9E4"/>
    <w:rPr>
      <w:sz w:val="18"/>
      <w:szCs w:val="22"/>
    </w:rPr>
  </w:style>
  <w:style w:type="paragraph" w:styleId="Virsraksts1">
    <w:name w:val="heading 1"/>
    <w:basedOn w:val="Parasts"/>
    <w:next w:val="Parasts"/>
    <w:link w:val="Virsraksts1Rakstz"/>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Virsraksts2">
    <w:name w:val="heading 2"/>
    <w:basedOn w:val="Parasts"/>
    <w:next w:val="Parasts"/>
    <w:link w:val="Virsraksts2Rakstz"/>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Virsraksts3">
    <w:name w:val="heading 3"/>
    <w:basedOn w:val="Parasts"/>
    <w:next w:val="Parasts"/>
    <w:link w:val="Virsraksts3Rakstz"/>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Virsraksts4">
    <w:name w:val="heading 4"/>
    <w:basedOn w:val="Parasts"/>
    <w:next w:val="Parasts"/>
    <w:link w:val="Virsraksts4Rakstz"/>
    <w:uiPriority w:val="9"/>
    <w:qFormat/>
    <w:rsid w:val="00B359E4"/>
    <w:pPr>
      <w:outlineLvl w:val="3"/>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4D3011"/>
    <w:rPr>
      <w:rFonts w:asciiTheme="majorHAnsi" w:eastAsiaTheme="majorEastAsia" w:hAnsiTheme="majorHAnsi" w:cstheme="majorBidi"/>
      <w:b/>
      <w:bCs/>
      <w:caps/>
      <w:sz w:val="22"/>
      <w:szCs w:val="26"/>
    </w:rPr>
  </w:style>
  <w:style w:type="paragraph" w:styleId="Nosaukums">
    <w:name w:val="Title"/>
    <w:basedOn w:val="Parasts"/>
    <w:next w:val="Parasts"/>
    <w:link w:val="NosaukumsRakstz"/>
    <w:uiPriority w:val="10"/>
    <w:qFormat/>
    <w:rsid w:val="001B2ABD"/>
    <w:rPr>
      <w:caps/>
      <w:color w:val="000000" w:themeColor="text1"/>
      <w:sz w:val="96"/>
      <w:szCs w:val="76"/>
    </w:rPr>
  </w:style>
  <w:style w:type="character" w:customStyle="1" w:styleId="NosaukumsRakstz">
    <w:name w:val="Nosaukums Rakstz."/>
    <w:basedOn w:val="Noklusjumarindkopasfonts"/>
    <w:link w:val="Nosaukums"/>
    <w:uiPriority w:val="10"/>
    <w:rsid w:val="001B2ABD"/>
    <w:rPr>
      <w:caps/>
      <w:color w:val="000000" w:themeColor="text1"/>
      <w:sz w:val="96"/>
      <w:szCs w:val="76"/>
    </w:rPr>
  </w:style>
  <w:style w:type="character" w:styleId="Izclums">
    <w:name w:val="Emphasis"/>
    <w:basedOn w:val="Noklusjumarindkopasfonts"/>
    <w:uiPriority w:val="11"/>
    <w:semiHidden/>
    <w:qFormat/>
    <w:rsid w:val="00E25A26"/>
    <w:rPr>
      <w:i/>
      <w:iCs/>
    </w:rPr>
  </w:style>
  <w:style w:type="character" w:customStyle="1" w:styleId="Virsraksts1Rakstz">
    <w:name w:val="Virsraksts 1 Rakstz."/>
    <w:basedOn w:val="Noklusjumarindkopasfonts"/>
    <w:link w:val="Virsraksts1"/>
    <w:uiPriority w:val="9"/>
    <w:rsid w:val="00AD76E2"/>
    <w:rPr>
      <w:rFonts w:asciiTheme="majorHAnsi" w:eastAsiaTheme="majorEastAsia" w:hAnsiTheme="majorHAnsi" w:cstheme="majorBidi"/>
      <w:color w:val="548AB7" w:themeColor="accent1" w:themeShade="BF"/>
      <w:sz w:val="32"/>
      <w:szCs w:val="32"/>
    </w:rPr>
  </w:style>
  <w:style w:type="paragraph" w:styleId="Datums">
    <w:name w:val="Date"/>
    <w:basedOn w:val="Parasts"/>
    <w:next w:val="Parasts"/>
    <w:link w:val="DatumsRakstz"/>
    <w:uiPriority w:val="99"/>
    <w:rsid w:val="00036450"/>
  </w:style>
  <w:style w:type="character" w:customStyle="1" w:styleId="DatumsRakstz">
    <w:name w:val="Datums Rakstz."/>
    <w:basedOn w:val="Noklusjumarindkopasfonts"/>
    <w:link w:val="Datums"/>
    <w:uiPriority w:val="99"/>
    <w:rsid w:val="00036450"/>
    <w:rPr>
      <w:sz w:val="18"/>
      <w:szCs w:val="22"/>
    </w:rPr>
  </w:style>
  <w:style w:type="character" w:styleId="Hipersaite">
    <w:name w:val="Hyperlink"/>
    <w:basedOn w:val="Noklusjumarindkopasfonts"/>
    <w:uiPriority w:val="99"/>
    <w:unhideWhenUsed/>
    <w:rsid w:val="00281FD5"/>
    <w:rPr>
      <w:color w:val="B85A22" w:themeColor="accent2" w:themeShade="BF"/>
      <w:u w:val="single"/>
    </w:rPr>
  </w:style>
  <w:style w:type="character" w:customStyle="1" w:styleId="UnresolvedMention">
    <w:name w:val="Unresolved Mention"/>
    <w:basedOn w:val="Noklusjumarindkopasfonts"/>
    <w:uiPriority w:val="99"/>
    <w:semiHidden/>
    <w:rsid w:val="004813B3"/>
    <w:rPr>
      <w:color w:val="605E5C"/>
      <w:shd w:val="clear" w:color="auto" w:fill="E1DFDD"/>
    </w:rPr>
  </w:style>
  <w:style w:type="paragraph" w:styleId="Galvene">
    <w:name w:val="header"/>
    <w:basedOn w:val="Parasts"/>
    <w:link w:val="GalveneRakstz"/>
    <w:uiPriority w:val="99"/>
    <w:semiHidden/>
    <w:rsid w:val="000C45FF"/>
    <w:pPr>
      <w:tabs>
        <w:tab w:val="center" w:pos="4680"/>
        <w:tab w:val="right" w:pos="9360"/>
      </w:tabs>
    </w:pPr>
  </w:style>
  <w:style w:type="character" w:customStyle="1" w:styleId="GalveneRakstz">
    <w:name w:val="Galvene Rakstz."/>
    <w:basedOn w:val="Noklusjumarindkopasfonts"/>
    <w:link w:val="Galvene"/>
    <w:uiPriority w:val="99"/>
    <w:semiHidden/>
    <w:rsid w:val="000C45FF"/>
    <w:rPr>
      <w:sz w:val="22"/>
      <w:szCs w:val="22"/>
    </w:rPr>
  </w:style>
  <w:style w:type="paragraph" w:styleId="Kjene">
    <w:name w:val="footer"/>
    <w:basedOn w:val="Parasts"/>
    <w:link w:val="KjeneRakstz"/>
    <w:uiPriority w:val="99"/>
    <w:semiHidden/>
    <w:rsid w:val="000C45FF"/>
    <w:pPr>
      <w:tabs>
        <w:tab w:val="center" w:pos="4680"/>
        <w:tab w:val="right" w:pos="9360"/>
      </w:tabs>
    </w:pPr>
  </w:style>
  <w:style w:type="character" w:customStyle="1" w:styleId="KjeneRakstz">
    <w:name w:val="Kājene Rakstz."/>
    <w:basedOn w:val="Noklusjumarindkopasfonts"/>
    <w:link w:val="Kjene"/>
    <w:uiPriority w:val="99"/>
    <w:semiHidden/>
    <w:rsid w:val="000C45FF"/>
    <w:rPr>
      <w:sz w:val="22"/>
      <w:szCs w:val="22"/>
    </w:rPr>
  </w:style>
  <w:style w:type="table" w:styleId="Reatabula">
    <w:name w:val="Table Grid"/>
    <w:basedOn w:val="Parastatabul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1B2ABD"/>
    <w:rPr>
      <w:color w:val="808080"/>
    </w:rPr>
  </w:style>
  <w:style w:type="paragraph" w:styleId="Apakvirsraksts">
    <w:name w:val="Subtitle"/>
    <w:basedOn w:val="Parasts"/>
    <w:next w:val="Parasts"/>
    <w:link w:val="ApakvirsrakstsRakstz"/>
    <w:uiPriority w:val="11"/>
    <w:qFormat/>
    <w:rsid w:val="001B2ABD"/>
    <w:rPr>
      <w:color w:val="000000" w:themeColor="text1"/>
      <w:spacing w:val="19"/>
      <w:w w:val="86"/>
      <w:sz w:val="32"/>
      <w:szCs w:val="28"/>
      <w:fitText w:val="2160" w:id="1744560130"/>
    </w:rPr>
  </w:style>
  <w:style w:type="character" w:customStyle="1" w:styleId="ApakvirsrakstsRakstz">
    <w:name w:val="Apakšvirsraksts Rakstz."/>
    <w:basedOn w:val="Noklusjumarindkopasfonts"/>
    <w:link w:val="Apakvirsraksts"/>
    <w:uiPriority w:val="11"/>
    <w:rsid w:val="001B2ABD"/>
    <w:rPr>
      <w:color w:val="000000" w:themeColor="text1"/>
      <w:spacing w:val="19"/>
      <w:w w:val="86"/>
      <w:sz w:val="32"/>
      <w:szCs w:val="28"/>
      <w:fitText w:val="2160" w:id="1744560130"/>
    </w:rPr>
  </w:style>
  <w:style w:type="character" w:customStyle="1" w:styleId="Virsraksts3Rakstz">
    <w:name w:val="Virsraksts 3 Rakstz."/>
    <w:basedOn w:val="Noklusjumarindkopasfonts"/>
    <w:link w:val="Virsraksts3"/>
    <w:uiPriority w:val="9"/>
    <w:rsid w:val="00D5459D"/>
    <w:rPr>
      <w:rFonts w:asciiTheme="majorHAnsi" w:eastAsiaTheme="majorEastAsia" w:hAnsiTheme="majorHAnsi" w:cstheme="majorBidi"/>
      <w:b/>
      <w:caps/>
      <w:color w:val="548AB7" w:themeColor="accent1" w:themeShade="BF"/>
      <w:sz w:val="22"/>
    </w:rPr>
  </w:style>
  <w:style w:type="character" w:customStyle="1" w:styleId="Virsraksts4Rakstz">
    <w:name w:val="Virsraksts 4 Rakstz."/>
    <w:basedOn w:val="Noklusjumarindkopasfonts"/>
    <w:link w:val="Virsraksts4"/>
    <w:uiPriority w:val="9"/>
    <w:rsid w:val="00B359E4"/>
    <w:rPr>
      <w:b/>
      <w:sz w:val="18"/>
      <w:szCs w:val="22"/>
    </w:rPr>
  </w:style>
  <w:style w:type="paragraph" w:styleId="Balonteksts">
    <w:name w:val="Balloon Text"/>
    <w:basedOn w:val="Parasts"/>
    <w:link w:val="BalontekstsRakstz"/>
    <w:uiPriority w:val="99"/>
    <w:semiHidden/>
    <w:unhideWhenUsed/>
    <w:rsid w:val="00252BEA"/>
    <w:rPr>
      <w:rFonts w:ascii="Segoe UI" w:hAnsi="Segoe UI" w:cs="Segoe UI"/>
      <w:szCs w:val="18"/>
    </w:rPr>
  </w:style>
  <w:style w:type="character" w:customStyle="1" w:styleId="BalontekstsRakstz">
    <w:name w:val="Balonteksts Rakstz."/>
    <w:basedOn w:val="Noklusjumarindkopasfonts"/>
    <w:link w:val="Balonteksts"/>
    <w:uiPriority w:val="99"/>
    <w:semiHidden/>
    <w:rsid w:val="00252BEA"/>
    <w:rPr>
      <w:rFonts w:ascii="Segoe UI" w:hAnsi="Segoe UI" w:cs="Segoe UI"/>
      <w:sz w:val="18"/>
      <w:szCs w:val="18"/>
    </w:rPr>
  </w:style>
  <w:style w:type="paragraph" w:styleId="Sarakstarindkopa">
    <w:name w:val="List Paragraph"/>
    <w:basedOn w:val="Parasts"/>
    <w:uiPriority w:val="34"/>
    <w:semiHidden/>
    <w:qFormat/>
    <w:rsid w:val="001B3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5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ina.ozkanli\AppData\Roaming\Microsoft\Veidnes\CV%20(zils%20un%20pel&#275;k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CV (zils un pelēks).dotx</Template>
  <TotalTime>0</TotalTime>
  <Pages>2</Pages>
  <Words>3079</Words>
  <Characters>1756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2020-01-09T13:39:00Z</dcterms:created>
  <dcterms:modified xsi:type="dcterms:W3CDTF">2020-01-10T07:53:00Z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